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2AA" w:rsidRPr="004832AA" w:rsidRDefault="004832AA" w:rsidP="004832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4832AA" w:rsidRPr="004832AA" w:rsidRDefault="004832AA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4832AA" w:rsidRPr="004832AA" w:rsidRDefault="004832AA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F52E8" w:rsidRDefault="003F52E8" w:rsidP="003F52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F52E8" w:rsidRDefault="003F52E8" w:rsidP="003F5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52E8" w:rsidRDefault="003F52E8" w:rsidP="003F52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648773A-A7FD-43AA-9127-70B3F864208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F52E8" w:rsidRDefault="003F52E8" w:rsidP="003F52E8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50A8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3F52E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</w:t>
      </w:r>
    </w:p>
    <w:p w:rsidR="008050A8" w:rsidRPr="000B4473" w:rsidRDefault="00EA779D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ТЕАТРАЛЬНОГО</w:t>
      </w:r>
      <w:r w:rsidR="008050A8"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</w:p>
    <w:p w:rsidR="008050A8" w:rsidRPr="000B4473" w:rsidRDefault="008050A8" w:rsidP="00EA7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A779D">
        <w:rPr>
          <w:rFonts w:ascii="Times New Roman" w:hAnsi="Times New Roman" w:cs="Times New Roman"/>
          <w:b/>
          <w:bCs/>
          <w:sz w:val="28"/>
          <w:szCs w:val="28"/>
        </w:rPr>
        <w:t>ИСКУССТВО ТЕАТРА»</w:t>
      </w: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ВО.00. ВАРИАТИВНАЯ ЧАСТЬ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0A8" w:rsidRDefault="005358F4" w:rsidP="00902F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050A8">
        <w:t xml:space="preserve">. </w:t>
      </w:r>
      <w:r w:rsidR="008050A8">
        <w:rPr>
          <w:rFonts w:ascii="Times New Roman" w:hAnsi="Times New Roman" w:cs="Times New Roman"/>
          <w:b/>
          <w:bCs/>
          <w:sz w:val="36"/>
          <w:szCs w:val="36"/>
        </w:rPr>
        <w:t>АНСАМБЛЬ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(ИНСТУМЕНТАЛЬНЫЙ)</w:t>
      </w:r>
    </w:p>
    <w:p w:rsidR="008050A8" w:rsidRDefault="008050A8" w:rsidP="00902FF1">
      <w:pPr>
        <w:pStyle w:val="a9"/>
        <w:ind w:right="120"/>
        <w:jc w:val="center"/>
        <w:rPr>
          <w:rFonts w:ascii="Times New Roman" w:hAnsi="Times New Roman"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26215C" w:rsidRPr="003F52E8" w:rsidRDefault="00A72A12" w:rsidP="003F52E8">
      <w:pPr>
        <w:pStyle w:val="a9"/>
        <w:spacing w:after="410"/>
        <w:ind w:right="120"/>
        <w:rPr>
          <w:rFonts w:ascii="Times New Roman" w:hAnsi="Times New Roman" w:cs="Times New Roman"/>
          <w:b/>
          <w:bCs/>
          <w:kern w:val="2"/>
        </w:rPr>
      </w:pPr>
      <w:r>
        <w:rPr>
          <w:rStyle w:val="BodyTextChar"/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</w:t>
      </w:r>
    </w:p>
    <w:p w:rsidR="00A632D2" w:rsidRPr="001E6725" w:rsidRDefault="005358F4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A632D2" w:rsidRPr="001E67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32D2" w:rsidRDefault="005358F4" w:rsidP="00A632D2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Чуркин А.Ф. преподаватель МАУ ДО «ДШИ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ВКК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6725" w:rsidRDefault="001E6725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5358F4">
      <w:pPr>
        <w:spacing w:after="0" w:line="288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EA779D">
        <w:rPr>
          <w:rFonts w:ascii="Times New Roman" w:hAnsi="Times New Roman" w:cs="Times New Roman"/>
          <w:sz w:val="28"/>
          <w:szCs w:val="28"/>
          <w:lang w:val="ru-RU"/>
        </w:rPr>
        <w:t>театрального</w:t>
      </w:r>
      <w:r w:rsidRPr="00EF3C5E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 «</w:t>
      </w:r>
      <w:r w:rsidR="00EA779D">
        <w:rPr>
          <w:rFonts w:ascii="Times New Roman" w:hAnsi="Times New Roman" w:cs="Times New Roman"/>
          <w:sz w:val="28"/>
          <w:szCs w:val="28"/>
          <w:lang w:val="ru-RU"/>
        </w:rPr>
        <w:t>Искусство театра</w:t>
      </w:r>
      <w:r w:rsidRPr="00EF3C5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системе  профессионального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 xml:space="preserve">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lastRenderedPageBreak/>
        <w:t>жалеечников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Обучающие  задачи: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на базе музыкального творчества оформить и развить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3F52E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Игра на ложках первого и второго комплекса упражнений, ритмические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 xml:space="preserve">нитарии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гигиены .</w:t>
      </w:r>
      <w:proofErr w:type="gramEnd"/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тематическте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( учебный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Конституция Российской Федерации.—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: принят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Гос.Думой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образования  в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4. Дмитриева Л.Г.,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6. Музыкальное воспитание в школе, сост.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Мефодия  [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Электронный ресурс] / 2 электрон, опт. диска (СОКОМ):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Администрации  Президента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>Список библиотек, доступных в Интернет и входящих в проект «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Либнет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5BD2" w:rsidRDefault="009E5BD2" w:rsidP="00F60D60">
      <w:pPr>
        <w:spacing w:after="0" w:line="240" w:lineRule="auto"/>
      </w:pPr>
      <w:r>
        <w:separator/>
      </w:r>
    </w:p>
  </w:endnote>
  <w:endnote w:type="continuationSeparator" w:id="0">
    <w:p w:rsidR="009E5BD2" w:rsidRDefault="009E5BD2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BF1BAE">
    <w:pPr>
      <w:pStyle w:val="a3"/>
      <w:jc w:val="right"/>
    </w:pPr>
    <w:r>
      <w:fldChar w:fldCharType="begin"/>
    </w:r>
    <w:r w:rsidR="000D20B1">
      <w:instrText>PAGE   \* MERGEFORMAT</w:instrText>
    </w:r>
    <w:r>
      <w:fldChar w:fldCharType="separate"/>
    </w:r>
    <w:r w:rsidR="00EA779D">
      <w:rPr>
        <w:noProof/>
      </w:rPr>
      <w:t>6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5BD2" w:rsidRDefault="009E5BD2" w:rsidP="00F60D60">
      <w:pPr>
        <w:spacing w:after="0" w:line="240" w:lineRule="auto"/>
      </w:pPr>
      <w:r>
        <w:separator/>
      </w:r>
    </w:p>
  </w:footnote>
  <w:footnote w:type="continuationSeparator" w:id="0">
    <w:p w:rsidR="009E5BD2" w:rsidRDefault="009E5BD2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233895">
    <w:abstractNumId w:val="0"/>
  </w:num>
  <w:num w:numId="2" w16cid:durableId="772096855">
    <w:abstractNumId w:val="0"/>
  </w:num>
  <w:num w:numId="3" w16cid:durableId="1209687242">
    <w:abstractNumId w:val="0"/>
  </w:num>
  <w:num w:numId="4" w16cid:durableId="508253361">
    <w:abstractNumId w:val="0"/>
  </w:num>
  <w:num w:numId="5" w16cid:durableId="1107584546">
    <w:abstractNumId w:val="10"/>
  </w:num>
  <w:num w:numId="6" w16cid:durableId="677542835">
    <w:abstractNumId w:val="6"/>
  </w:num>
  <w:num w:numId="7" w16cid:durableId="1588539568">
    <w:abstractNumId w:val="2"/>
  </w:num>
  <w:num w:numId="8" w16cid:durableId="573902062">
    <w:abstractNumId w:val="17"/>
  </w:num>
  <w:num w:numId="9" w16cid:durableId="645473491">
    <w:abstractNumId w:val="11"/>
  </w:num>
  <w:num w:numId="10" w16cid:durableId="373848150">
    <w:abstractNumId w:val="18"/>
  </w:num>
  <w:num w:numId="11" w16cid:durableId="29653772">
    <w:abstractNumId w:val="13"/>
  </w:num>
  <w:num w:numId="12" w16cid:durableId="1488475243">
    <w:abstractNumId w:val="12"/>
  </w:num>
  <w:num w:numId="13" w16cid:durableId="151795167">
    <w:abstractNumId w:val="15"/>
  </w:num>
  <w:num w:numId="14" w16cid:durableId="36470316">
    <w:abstractNumId w:val="14"/>
  </w:num>
  <w:num w:numId="15" w16cid:durableId="901793813">
    <w:abstractNumId w:val="20"/>
  </w:num>
  <w:num w:numId="16" w16cid:durableId="1119101737">
    <w:abstractNumId w:val="3"/>
  </w:num>
  <w:num w:numId="17" w16cid:durableId="1816221061">
    <w:abstractNumId w:val="7"/>
  </w:num>
  <w:num w:numId="18" w16cid:durableId="1935940188">
    <w:abstractNumId w:val="5"/>
  </w:num>
  <w:num w:numId="19" w16cid:durableId="1692683945">
    <w:abstractNumId w:val="9"/>
  </w:num>
  <w:num w:numId="20" w16cid:durableId="1882937599">
    <w:abstractNumId w:val="16"/>
  </w:num>
  <w:num w:numId="21" w16cid:durableId="1034312173">
    <w:abstractNumId w:val="4"/>
  </w:num>
  <w:num w:numId="22" w16cid:durableId="917710829">
    <w:abstractNumId w:val="19"/>
  </w:num>
  <w:num w:numId="23" w16cid:durableId="1636133088">
    <w:abstractNumId w:val="8"/>
  </w:num>
  <w:num w:numId="24" w16cid:durableId="7772584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686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0D20B1"/>
    <w:rsid w:val="001359E5"/>
    <w:rsid w:val="001433E2"/>
    <w:rsid w:val="001E6725"/>
    <w:rsid w:val="002352FE"/>
    <w:rsid w:val="002408EB"/>
    <w:rsid w:val="00252CD1"/>
    <w:rsid w:val="0026215C"/>
    <w:rsid w:val="0030463D"/>
    <w:rsid w:val="003314F2"/>
    <w:rsid w:val="0037102E"/>
    <w:rsid w:val="003F52E8"/>
    <w:rsid w:val="00411F10"/>
    <w:rsid w:val="00470181"/>
    <w:rsid w:val="004832AA"/>
    <w:rsid w:val="004929FF"/>
    <w:rsid w:val="004E500E"/>
    <w:rsid w:val="005358F4"/>
    <w:rsid w:val="0062331D"/>
    <w:rsid w:val="00631920"/>
    <w:rsid w:val="006F4ABA"/>
    <w:rsid w:val="00720B9B"/>
    <w:rsid w:val="007F04F1"/>
    <w:rsid w:val="008050A8"/>
    <w:rsid w:val="008642EA"/>
    <w:rsid w:val="008A2876"/>
    <w:rsid w:val="008C5BA3"/>
    <w:rsid w:val="008D1424"/>
    <w:rsid w:val="00902FF1"/>
    <w:rsid w:val="00903CBC"/>
    <w:rsid w:val="00962A5A"/>
    <w:rsid w:val="009D363B"/>
    <w:rsid w:val="009E5BD2"/>
    <w:rsid w:val="00A1118F"/>
    <w:rsid w:val="00A632D2"/>
    <w:rsid w:val="00A72A12"/>
    <w:rsid w:val="00AA3CF8"/>
    <w:rsid w:val="00AF2711"/>
    <w:rsid w:val="00B549DD"/>
    <w:rsid w:val="00B750E2"/>
    <w:rsid w:val="00B94368"/>
    <w:rsid w:val="00B96FCE"/>
    <w:rsid w:val="00BF1BAE"/>
    <w:rsid w:val="00C45C2D"/>
    <w:rsid w:val="00C50F57"/>
    <w:rsid w:val="00C639C3"/>
    <w:rsid w:val="00E036EB"/>
    <w:rsid w:val="00E76409"/>
    <w:rsid w:val="00E770C1"/>
    <w:rsid w:val="00EA779D"/>
    <w:rsid w:val="00EB25EB"/>
    <w:rsid w:val="00EF3C5E"/>
    <w:rsid w:val="00F6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3" type="connector" idref="#_x0000_s1047"/>
        <o:r id="V:Rule24" type="connector" idref="#_x0000_s1038"/>
        <o:r id="V:Rule25" type="connector" idref="#_x0000_s1036"/>
        <o:r id="V:Rule26" type="connector" idref="#_x0000_s1035"/>
        <o:r id="V:Rule27" type="connector" idref="#_x0000_s1051"/>
        <o:r id="V:Rule28" type="connector" idref="#_x0000_s1042"/>
        <o:r id="V:Rule29" type="connector" idref="#_x0000_s1031"/>
        <o:r id="V:Rule30" type="connector" idref="#_x0000_s1049"/>
        <o:r id="V:Rule31" type="connector" idref="#_x0000_s1039"/>
        <o:r id="V:Rule32" type="connector" idref="#_x0000_s1045"/>
        <o:r id="V:Rule33" type="connector" idref="#_x0000_s1037"/>
        <o:r id="V:Rule34" type="connector" idref="#_x0000_s1041"/>
        <o:r id="V:Rule35" type="connector" idref="#_x0000_s1029"/>
        <o:r id="V:Rule36" type="connector" idref="#_x0000_s1032"/>
        <o:r id="V:Rule37" type="connector" idref="#_x0000_s1028"/>
        <o:r id="V:Rule38" type="connector" idref="#_x0000_s1048"/>
        <o:r id="V:Rule39" type="connector" idref="#_x0000_s1030"/>
        <o:r id="V:Rule40" type="connector" idref="#_x0000_s1034"/>
        <o:r id="V:Rule41" type="connector" idref="#_x0000_s1044"/>
        <o:r id="V:Rule42" type="connector" idref="#_x0000_s1027"/>
        <o:r id="V:Rule43" type="connector" idref="#_x0000_s1043"/>
        <o:r id="V:Rule44" type="connector" idref="#_x0000_s1050"/>
      </o:rules>
    </o:shapelayout>
  </w:shapeDefaults>
  <w:decimalSymbol w:val=","/>
  <w:listSeparator w:val=";"/>
  <w14:docId w14:val="12E026D0"/>
  <w15:docId w15:val="{AC7BDF48-DAB1-4C32-83CB-CD1F442C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  <w:style w:type="paragraph" w:styleId="ad">
    <w:name w:val="Balloon Text"/>
    <w:basedOn w:val="a"/>
    <w:link w:val="ae"/>
    <w:uiPriority w:val="99"/>
    <w:semiHidden/>
    <w:unhideWhenUsed/>
    <w:rsid w:val="0026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15C"/>
    <w:rPr>
      <w:rFonts w:ascii="Tahoma" w:hAnsi="Tahoma" w:cs="Tahoma"/>
      <w:sz w:val="16"/>
      <w:szCs w:val="16"/>
    </w:rPr>
  </w:style>
  <w:style w:type="table" w:styleId="af">
    <w:name w:val="Table Grid"/>
    <w:basedOn w:val="a1"/>
    <w:locked/>
    <w:rsid w:val="004832A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Local%20Settings/Temp/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MuBhj4TPZLPjVMKx6MUCjBmwRF/AM5+IqQQMGpZcQ3E=</DigestValue>
    </Reference>
    <Reference Type="http://www.w3.org/2000/09/xmldsig#Object" URI="#idOfficeObject">
      <DigestMethod Algorithm="urn:ietf:params:xml:ns:cpxmlsec:algorithms:gostr34112012-256"/>
      <DigestValue>d/LydlxrQYEjlqJDAl6jHeErcsOwbgYcRFAu2LH+F+Y=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JA2ptDwI6e4CqIVCCjJCE92PI0E/WC3UYM1mkJYf5Nw=</DigestValue>
    </Reference>
    <Reference Type="http://www.w3.org/2000/09/xmldsig#Object" URI="#idValidSigLnImg">
      <DigestMethod Algorithm="urn:ietf:params:xml:ns:cpxmlsec:algorithms:gostr34112012-256"/>
      <DigestValue>jafXxC5Hxguzz9O2U3Nrja/YV3unXoiN4gi8X5MXVGw=</DigestValue>
    </Reference>
    <Reference Type="http://www.w3.org/2000/09/xmldsig#Object" URI="#idInvalidSigLnImg">
      <DigestMethod Algorithm="urn:ietf:params:xml:ns:cpxmlsec:algorithms:gostr34112012-256"/>
      <DigestValue>LDAz7Iv5e+h/T85zbNgXZ1z1ULvCFZrXv0Oq8baSBKk=</DigestValue>
    </Reference>
  </SignedInfo>
  <SignatureValue>kZXmVQCh4ehz6e9lzJ0bZq7B5lFUdNd1bGHBaBYu7jU8veWrcfXcL5aJo9VRan90
s0feu4iQWUnAYpX5c0QeWw==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vnsOGlVWqxccxg+Xhhxd/4pHanA=</DigestValue>
      </Reference>
      <Reference URI="/word/document.xml?ContentType=application/vnd.openxmlformats-officedocument.wordprocessingml.document.main+xml">
        <DigestMethod Algorithm="http://www.w3.org/2000/09/xmldsig#sha1"/>
        <DigestValue>SnUDizUD2qgc7BP5XzHfOrD3gSU=</DigestValue>
      </Reference>
      <Reference URI="/word/endnotes.xml?ContentType=application/vnd.openxmlformats-officedocument.wordprocessingml.endnotes+xml">
        <DigestMethod Algorithm="http://www.w3.org/2000/09/xmldsig#sha1"/>
        <DigestValue>9UX1umJ/h1I2pENm8IVEPhuJwaA=</DigestValue>
      </Reference>
      <Reference URI="/word/fontTable.xml?ContentType=application/vnd.openxmlformats-officedocument.wordprocessingml.fontTable+xml">
        <DigestMethod Algorithm="http://www.w3.org/2000/09/xmldsig#sha1"/>
        <DigestValue>G1lL5pj9hIAJ599sl4qMKhzmD2A=</DigestValue>
      </Reference>
      <Reference URI="/word/footer1.xml?ContentType=application/vnd.openxmlformats-officedocument.wordprocessingml.footer+xml">
        <DigestMethod Algorithm="http://www.w3.org/2000/09/xmldsig#sha1"/>
        <DigestValue>4xncIyNyZUO38Sr2voDbidKRHIA=</DigestValue>
      </Reference>
      <Reference URI="/word/footnotes.xml?ContentType=application/vnd.openxmlformats-officedocument.wordprocessingml.footnotes+xml">
        <DigestMethod Algorithm="http://www.w3.org/2000/09/xmldsig#sha1"/>
        <DigestValue>g9FTW7HcXMPDi54YIunbyfB5FZE=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IyUt+ittLYSv555wL18yTbwXm1g=</DigestValue>
      </Reference>
      <Reference URI="/word/settings.xml?ContentType=application/vnd.openxmlformats-officedocument.wordprocessingml.settings+xml">
        <DigestMethod Algorithm="http://www.w3.org/2000/09/xmldsig#sha1"/>
        <DigestValue>Av0YDgz4sgARhqqFK/PaMhMPtjg=</DigestValue>
      </Reference>
      <Reference URI="/word/styles.xml?ContentType=application/vnd.openxmlformats-officedocument.wordprocessingml.styles+xml">
        <DigestMethod Algorithm="http://www.w3.org/2000/09/xmldsig#sha1"/>
        <DigestValue>xSfr8E5AsbPhWjUZOPV5DiDmQO4=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tB+bOVUC0moUAWbNX3p6u0u0uc0=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2023-06-03T05:13:56Z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{C648773A-A7FD-43AA-9127-70B3F8642081}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2023-06-03T05:13:56Z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Gf2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Gj2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4BIAAACcz+7S6ffb7fnC0t1haH0hMm8aLXIuT8ggOIwoRKslP58cK08AAAGqVQAAAMHg9P///////////+bm5k9SXjw/SzBRzTFU0y1NwSAyVzFGXwEBAgAACA8mnM/u69/SvI9jt4tgjIR9FBosDBEjMVTUMlXWMVPRKUSeDxk4AAAAAAAAAADT6ff///////+Tk5MjK0krSbkvUcsuT8YVJFoTIFIrSbgtTcEQHEcu4w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3237</Words>
  <Characters>18452</Characters>
  <Application>Microsoft Office Word</Application>
  <DocSecurity>0</DocSecurity>
  <Lines>153</Lines>
  <Paragraphs>43</Paragraphs>
  <ScaleCrop>false</ScaleCrop>
  <Company>Home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17</cp:revision>
  <cp:lastPrinted>2015-03-28T13:30:00Z</cp:lastPrinted>
  <dcterms:created xsi:type="dcterms:W3CDTF">2016-02-26T16:18:00Z</dcterms:created>
  <dcterms:modified xsi:type="dcterms:W3CDTF">2023-06-03T05:13:00Z</dcterms:modified>
</cp:coreProperties>
</file>