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43E" w:rsidRPr="0094043E" w:rsidRDefault="0094043E" w:rsidP="009404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Hlk136597841"/>
      <w:r w:rsidRPr="0094043E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94043E" w:rsidRPr="0094043E" w:rsidRDefault="0094043E" w:rsidP="0094043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4043E">
        <w:rPr>
          <w:rFonts w:ascii="Times New Roman" w:hAnsi="Times New Roman" w:cs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94043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94043E" w:rsidRPr="0094043E" w:rsidRDefault="005A4C64" w:rsidP="0094043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26580EA-AF34-449D-AFCF-9C48885CB13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4043E" w:rsidRPr="0094043E" w:rsidRDefault="0094043E" w:rsidP="0094043E">
      <w:pPr>
        <w:rPr>
          <w:lang w:val="ru-RU"/>
        </w:rPr>
      </w:pPr>
      <w:r w:rsidRPr="009404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Рассмотрена педагогическим советом протокол от 01.06.2022г.№6</w:t>
      </w:r>
      <w:bookmarkEnd w:id="0"/>
    </w:p>
    <w:p w:rsidR="0094043E" w:rsidRDefault="0094043E" w:rsidP="008805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0594" w:rsidRPr="00880594" w:rsidRDefault="00880594" w:rsidP="00880594">
      <w:pPr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880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автономное учреждение</w:t>
      </w:r>
    </w:p>
    <w:p w:rsidR="00880594" w:rsidRPr="00880594" w:rsidRDefault="00880594" w:rsidP="008805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0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Дополнительного образования </w:t>
      </w:r>
    </w:p>
    <w:p w:rsidR="00880594" w:rsidRPr="008D068C" w:rsidRDefault="00880594" w:rsidP="008805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068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«Детская школа искусств»</w:t>
      </w:r>
    </w:p>
    <w:p w:rsidR="007562C0" w:rsidRDefault="007562C0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2C0" w:rsidRDefault="007562C0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2C0" w:rsidRDefault="007562C0" w:rsidP="007562C0">
      <w:pPr>
        <w:pStyle w:val="1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4043E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 ОБЛАСТИ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764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ДУХОВЫЕ И УДАРНЫЕ ИНСТРУМЕНТЫ</w:t>
      </w: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ПО.02.  ТЕОРИЯ И ИСТОРИЯ МУЗЫКИ</w:t>
      </w:r>
    </w:p>
    <w:p w:rsidR="007562C0" w:rsidRPr="007562C0" w:rsidRDefault="007562C0" w:rsidP="00756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2C0" w:rsidRDefault="007562C0" w:rsidP="007562C0">
      <w:pPr>
        <w:pStyle w:val="Body1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7562C0" w:rsidRPr="007911DB" w:rsidRDefault="007562C0" w:rsidP="007562C0">
      <w:pPr>
        <w:pStyle w:val="Body1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 УЧЕБНОМУ ПРЕДМЕТУ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62C0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ПО.02.УП.02. СЛУШАНИЕ МУЗЫКИ</w:t>
      </w:r>
    </w:p>
    <w:p w:rsidR="007562C0" w:rsidRDefault="007562C0" w:rsidP="007562C0">
      <w:pPr>
        <w:pStyle w:val="a3"/>
        <w:spacing w:after="410" w:line="240" w:lineRule="auto"/>
        <w:ind w:right="120"/>
        <w:jc w:val="center"/>
        <w:rPr>
          <w:sz w:val="32"/>
          <w:szCs w:val="32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  <w:t xml:space="preserve"> </w:t>
      </w: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7562C0" w:rsidRPr="007562C0" w:rsidRDefault="007562C0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lang w:val="ru-RU" w:eastAsia="ar-SA"/>
        </w:rPr>
        <w:t xml:space="preserve"> </w:t>
      </w:r>
    </w:p>
    <w:p w:rsidR="007562C0" w:rsidRDefault="007562C0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562C0" w:rsidRDefault="007562C0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562C0" w:rsidRDefault="007562C0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562C0" w:rsidRDefault="007562C0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562C0" w:rsidRDefault="007562C0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562C0" w:rsidRDefault="007562C0" w:rsidP="008D068C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2C0" w:rsidRDefault="007562C0" w:rsidP="00DE02B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proofErr w:type="spellStart"/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Н.А.Царева</w:t>
      </w:r>
      <w:proofErr w:type="spellEnd"/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кой школы искусств №11 города </w:t>
      </w:r>
      <w:r w:rsidR="00475C16">
        <w:rPr>
          <w:rFonts w:ascii="Times New Roman" w:hAnsi="Times New Roman" w:cs="Times New Roman"/>
          <w:sz w:val="28"/>
          <w:szCs w:val="28"/>
          <w:lang w:val="ru-RU"/>
        </w:rPr>
        <w:t>Москвы</w:t>
      </w: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Pr="004B2517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Домогацкая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 w:rsidR="00475C16"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9E043B" w:rsidRPr="004B2517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Кожурина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 w:rsidR="00FA2689"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академии музыки имени Гнесиных </w:t>
      </w: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proofErr w:type="spellStart"/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Жуковская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теоретическим отделом Детской музыкальной школы Академического музыкального колледжа </w:t>
      </w:r>
      <w:r w:rsidR="00133FE4" w:rsidRPr="004B251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при Московской государственной консерватории имени </w:t>
      </w:r>
      <w:proofErr w:type="spellStart"/>
      <w:r w:rsidR="00133FE4" w:rsidRPr="004B2517">
        <w:rPr>
          <w:rFonts w:ascii="Times New Roman" w:hAnsi="Times New Roman"/>
          <w:bCs/>
          <w:color w:val="000000"/>
          <w:sz w:val="28"/>
          <w:szCs w:val="28"/>
          <w:lang w:val="ru-RU"/>
        </w:rPr>
        <w:t>П.И.Чайковского</w:t>
      </w:r>
      <w:proofErr w:type="spellEnd"/>
      <w:r w:rsidR="00133FE4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 искусствоведения </w:t>
      </w: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507" w:rsidRDefault="008C050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2689" w:rsidRDefault="00FA268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>ального искусства «</w:t>
      </w:r>
      <w:r w:rsidR="00764630">
        <w:rPr>
          <w:rFonts w:ascii="Times New Roman" w:hAnsi="Times New Roman" w:cs="Times New Roman"/>
          <w:sz w:val="28"/>
          <w:szCs w:val="28"/>
          <w:lang w:val="ru-RU"/>
        </w:rPr>
        <w:t>Духовые и ударные инструменты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</w:t>
      </w:r>
      <w:proofErr w:type="spellStart"/>
      <w:r w:rsidR="00F06756">
        <w:rPr>
          <w:rFonts w:ascii="Times New Roman" w:hAnsi="Times New Roman" w:cs="Times New Roman"/>
          <w:sz w:val="28"/>
          <w:szCs w:val="28"/>
          <w:lang w:val="ru-RU"/>
        </w:rPr>
        <w:t>ак.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часу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lastRenderedPageBreak/>
        <w:t xml:space="preserve">В соответствии с данными направлениями строится основной раздел программы </w:t>
      </w:r>
      <w:r w:rsidR="00803C29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( образы птиц). 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E16EC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Состояние  внутренней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82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Папагено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 xml:space="preserve">», «Дед Мороз», </w:t>
      </w:r>
      <w:r w:rsidR="004A5396">
        <w:rPr>
          <w:rFonts w:ascii="Times New Roman" w:hAnsi="Times New Roman" w:cs="Times New Roman"/>
          <w:sz w:val="28"/>
          <w:szCs w:val="28"/>
        </w:rPr>
        <w:lastRenderedPageBreak/>
        <w:t>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«Шехерезада»: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>
        <w:rPr>
          <w:rStyle w:val="115pt"/>
          <w:rFonts w:eastAsiaTheme="minorHAnsi"/>
          <w:sz w:val="28"/>
          <w:szCs w:val="28"/>
        </w:rPr>
        <w:t>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Соната  До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Д. Скарлатти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proofErr w:type="spellEnd"/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С.С.Прокофьев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Папагено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Д.Б. 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Джоплин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proofErr w:type="spellStart"/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</w:t>
      </w:r>
      <w:r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балет«Жар</w:t>
      </w:r>
      <w:proofErr w:type="spellEnd"/>
      <w:r w:rsidRPr="002E7E52">
        <w:rPr>
          <w:rStyle w:val="115pt"/>
          <w:rFonts w:eastAsiaTheme="minorHAnsi"/>
          <w:sz w:val="28"/>
          <w:szCs w:val="28"/>
        </w:rPr>
        <w:t>-птица»</w:t>
      </w:r>
      <w:r w:rsidR="0007385D">
        <w:rPr>
          <w:rStyle w:val="115pt"/>
          <w:rFonts w:eastAsiaTheme="minorHAnsi"/>
          <w:sz w:val="28"/>
          <w:szCs w:val="28"/>
        </w:rPr>
        <w:t>: Поганый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речи, ритмики, размера.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», «Славны были наши деды»,  «Степь да степь кругом», «Вечерний звон», </w:t>
      </w:r>
      <w:r w:rsidR="000952C3" w:rsidRPr="002E7E52">
        <w:rPr>
          <w:rStyle w:val="115pt"/>
          <w:rFonts w:eastAsiaTheme="minorHAnsi"/>
          <w:sz w:val="28"/>
          <w:szCs w:val="28"/>
        </w:rPr>
        <w:lastRenderedPageBreak/>
        <w:t xml:space="preserve">«Грянул внезапно гром»;  канты: «Орле Российский», «Начну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proofErr w:type="spellEnd"/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«Как ходила Коляда», «Авсень»,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плетень», «Вейся, вейся, 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пустка», «Ай, 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 ).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 xml:space="preserve">Чтение текста романса </w:t>
      </w:r>
      <w:proofErr w:type="spellStart"/>
      <w:r w:rsidR="009E1BDE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lastRenderedPageBreak/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 xml:space="preserve">емости учащихся в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роков, которые проводятся 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 xml:space="preserve"> в конце каждой четверти.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Контрольный урок проводится на последнем уроке 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 xml:space="preserve">четверти 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431AC7" w:rsidRPr="00EC63D8" w:rsidTr="00F650B7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F65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5A4C64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F06756" w:rsidP="00F650B7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AC7" w:rsidRPr="00EC63D8">
              <w:rPr>
                <w:rFonts w:ascii="Times New Roman" w:hAnsi="Times New Roman" w:cs="Times New Roman"/>
                <w:sz w:val="24"/>
                <w:szCs w:val="24"/>
              </w:rPr>
              <w:t>онтрольный урок - обобщение пройденного понятийного и музыкального материала.</w:t>
            </w:r>
          </w:p>
          <w:p w:rsidR="00431AC7" w:rsidRPr="006A6884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Музыкально-слуховое осознание  средств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 незнакомых произведениях с ярким программным содержанием: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К.Сен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-Санс, 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етские альбомы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Р.К.Щедрина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В.А.Гаврилина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5A4C64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31AC7" w:rsidRPr="00EC63D8" w:rsidRDefault="00F06756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AC7" w:rsidRPr="00EC63D8">
              <w:rPr>
                <w:rFonts w:ascii="Times New Roman" w:hAnsi="Times New Roman" w:cs="Times New Roman"/>
                <w:sz w:val="24"/>
                <w:szCs w:val="24"/>
              </w:rPr>
              <w:t>онтрольный урок.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5A4C64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AC7" w:rsidRPr="00EC63D8" w:rsidRDefault="00F06756" w:rsidP="00F650B7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AC7" w:rsidRPr="00EC63D8">
              <w:rPr>
                <w:rFonts w:ascii="Times New Roman" w:hAnsi="Times New Roman" w:cs="Times New Roman"/>
                <w:sz w:val="24"/>
                <w:szCs w:val="24"/>
              </w:rPr>
              <w:t>онтрольный урок</w:t>
            </w:r>
            <w:r w:rsidR="00431AC7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="00431AC7"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F650B7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способах 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F06756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6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F06756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  <w:r w:rsidR="00F0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6">
              <w:rPr>
                <w:rFonts w:ascii="Times New Roman" w:hAnsi="Times New Roman" w:cs="Times New Roman"/>
                <w:sz w:val="24"/>
                <w:szCs w:val="24"/>
              </w:rPr>
              <w:t xml:space="preserve"> Д. Скарлатти, Дж. Россини, В. Моцарт, Э. Григ, К. Дебюсси,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694">
        <w:rPr>
          <w:rFonts w:ascii="Times New Roman" w:hAnsi="Times New Roman" w:cs="Times New Roman"/>
          <w:sz w:val="28"/>
          <w:szCs w:val="28"/>
          <w:lang w:val="ru-RU"/>
        </w:rPr>
        <w:t>обеспечивают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="004F1694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магнитные доски, интерактивн</w:t>
      </w:r>
      <w:r w:rsidR="004F169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доск</w:t>
      </w:r>
      <w:r w:rsidR="004F169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r w:rsidR="004F1694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9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3A6" w:rsidRDefault="000B33A6" w:rsidP="00EB18E3">
      <w:r>
        <w:separator/>
      </w:r>
    </w:p>
  </w:endnote>
  <w:endnote w:type="continuationSeparator" w:id="0">
    <w:p w:rsidR="000B33A6" w:rsidRDefault="000B33A6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849"/>
      <w:docPartObj>
        <w:docPartGallery w:val="Page Numbers (Bottom of Page)"/>
        <w:docPartUnique/>
      </w:docPartObj>
    </w:sdtPr>
    <w:sdtEndPr/>
    <w:sdtContent>
      <w:p w:rsidR="003059CA" w:rsidRDefault="00880594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9CA" w:rsidRPr="00622B85" w:rsidRDefault="003059CA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3A6" w:rsidRDefault="000B33A6" w:rsidP="00EB18E3">
      <w:r>
        <w:separator/>
      </w:r>
    </w:p>
  </w:footnote>
  <w:footnote w:type="continuationSeparator" w:id="0">
    <w:p w:rsidR="000B33A6" w:rsidRDefault="000B33A6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69919">
    <w:abstractNumId w:val="10"/>
  </w:num>
  <w:num w:numId="2" w16cid:durableId="1358848374">
    <w:abstractNumId w:val="1"/>
  </w:num>
  <w:num w:numId="3" w16cid:durableId="288514011">
    <w:abstractNumId w:val="3"/>
  </w:num>
  <w:num w:numId="4" w16cid:durableId="42413487">
    <w:abstractNumId w:val="7"/>
  </w:num>
  <w:num w:numId="5" w16cid:durableId="257178746">
    <w:abstractNumId w:val="12"/>
  </w:num>
  <w:num w:numId="6" w16cid:durableId="818034190">
    <w:abstractNumId w:val="13"/>
  </w:num>
  <w:num w:numId="7" w16cid:durableId="1693652531">
    <w:abstractNumId w:val="14"/>
  </w:num>
  <w:num w:numId="8" w16cid:durableId="1367214145">
    <w:abstractNumId w:val="16"/>
  </w:num>
  <w:num w:numId="9" w16cid:durableId="679045701">
    <w:abstractNumId w:val="15"/>
  </w:num>
  <w:num w:numId="10" w16cid:durableId="755172986">
    <w:abstractNumId w:val="11"/>
  </w:num>
  <w:num w:numId="11" w16cid:durableId="450638117">
    <w:abstractNumId w:val="9"/>
  </w:num>
  <w:num w:numId="12" w16cid:durableId="1148668241">
    <w:abstractNumId w:val="6"/>
  </w:num>
  <w:num w:numId="13" w16cid:durableId="128591168">
    <w:abstractNumId w:val="17"/>
  </w:num>
  <w:num w:numId="14" w16cid:durableId="1735156866">
    <w:abstractNumId w:val="5"/>
  </w:num>
  <w:num w:numId="15" w16cid:durableId="1634870747">
    <w:abstractNumId w:val="8"/>
  </w:num>
  <w:num w:numId="16" w16cid:durableId="1604996899">
    <w:abstractNumId w:val="2"/>
  </w:num>
  <w:num w:numId="17" w16cid:durableId="775561216">
    <w:abstractNumId w:val="0"/>
  </w:num>
  <w:num w:numId="18" w16cid:durableId="3513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B33A6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C581B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952C3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1694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4C64"/>
    <w:rsid w:val="005A5072"/>
    <w:rsid w:val="005A59BE"/>
    <w:rsid w:val="005B2155"/>
    <w:rsid w:val="005B504A"/>
    <w:rsid w:val="005C2C88"/>
    <w:rsid w:val="005D7A52"/>
    <w:rsid w:val="005F2B8D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576A4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46521"/>
    <w:rsid w:val="007503CE"/>
    <w:rsid w:val="0075369C"/>
    <w:rsid w:val="007562C0"/>
    <w:rsid w:val="00764630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3C29"/>
    <w:rsid w:val="00804304"/>
    <w:rsid w:val="008050A6"/>
    <w:rsid w:val="008067D2"/>
    <w:rsid w:val="0081531C"/>
    <w:rsid w:val="00835991"/>
    <w:rsid w:val="008460C1"/>
    <w:rsid w:val="00871827"/>
    <w:rsid w:val="00872533"/>
    <w:rsid w:val="00877C13"/>
    <w:rsid w:val="00880594"/>
    <w:rsid w:val="0088214E"/>
    <w:rsid w:val="00886C7F"/>
    <w:rsid w:val="008A26C5"/>
    <w:rsid w:val="008B02CD"/>
    <w:rsid w:val="008C0507"/>
    <w:rsid w:val="008C2569"/>
    <w:rsid w:val="008C7D60"/>
    <w:rsid w:val="008D068C"/>
    <w:rsid w:val="008F0E51"/>
    <w:rsid w:val="008F236A"/>
    <w:rsid w:val="008F2A63"/>
    <w:rsid w:val="008F3704"/>
    <w:rsid w:val="008F67A2"/>
    <w:rsid w:val="009126BF"/>
    <w:rsid w:val="0092243A"/>
    <w:rsid w:val="00935239"/>
    <w:rsid w:val="0094043E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E02B8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203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06756"/>
    <w:rsid w:val="00F2051E"/>
    <w:rsid w:val="00F222E1"/>
    <w:rsid w:val="00F24622"/>
    <w:rsid w:val="00F34425"/>
    <w:rsid w:val="00F37DF9"/>
    <w:rsid w:val="00F42365"/>
    <w:rsid w:val="00F6796B"/>
    <w:rsid w:val="00F730EC"/>
    <w:rsid w:val="00F75AE4"/>
    <w:rsid w:val="00FA2689"/>
    <w:rsid w:val="00FB0600"/>
    <w:rsid w:val="00FB3054"/>
    <w:rsid w:val="00FD45C1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15F58"/>
  <w15:docId w15:val="{E582120E-5D1D-4C45-BDF2-A70AD4E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YTgHFtTbafkCR/iPkdQTE/k8xyNbM3CVqRs6My1qYD8=</DigestValue>
    </Reference>
    <Reference Type="http://www.w3.org/2000/09/xmldsig#Object" URI="#idOfficeObject">
      <DigestMethod Algorithm="urn:ietf:params:xml:ns:cpxmlsec:algorithms:gostr34112012-256"/>
      <DigestValue>j2Uc2MTDh1OVHIBzfJZvEUiak221aRHM0L69+Q6IC3I=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FI8T1dicdIyKc02QIglzdO48JkBfzsA1MWUwEzaMc+E=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QGcJ0N1JlgSpuJ7h2P6L5qf00JiOZpEhi+26KoXY2G0=</DigestValue>
    </Reference>
  </SignedInfo>
  <SignatureValue>tSZYRyCiWJqAsnbZDKFsHd48BaPI8iepqxRqhl2FmHCLtIBcSDW7J1fW4/S+U+tv
u5rufnAJqoCHOAVe2ZB9xA==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vXfbr6inp42QeKgLZyFKeipAmGU=</DigestValue>
      </Reference>
      <Reference URI="/word/endnotes.xml?ContentType=application/vnd.openxmlformats-officedocument.wordprocessingml.endnotes+xml">
        <DigestMethod Algorithm="http://www.w3.org/2000/09/xmldsig#sha1"/>
        <DigestValue>KpIPlQAFFogGA8xmVkVk7Xnyek0=</DigestValue>
      </Reference>
      <Reference URI="/word/fontTable.xml?ContentType=application/vnd.openxmlformats-officedocument.wordprocessingml.fontTable+xml">
        <DigestMethod Algorithm="http://www.w3.org/2000/09/xmldsig#sha1"/>
        <DigestValue>KfpCCMyTMJJjMm/KpnDVNCrEOi8=</DigestValue>
      </Reference>
      <Reference URI="/word/footer1.xml?ContentType=application/vnd.openxmlformats-officedocument.wordprocessingml.footer+xml">
        <DigestMethod Algorithm="http://www.w3.org/2000/09/xmldsig#sha1"/>
        <DigestValue>JkxoRd1UGrsxDQpma6InO/H+/10=</DigestValue>
      </Reference>
      <Reference URI="/word/footnotes.xml?ContentType=application/vnd.openxmlformats-officedocument.wordprocessingml.footnotes+xml">
        <DigestMethod Algorithm="http://www.w3.org/2000/09/xmldsig#sha1"/>
        <DigestValue>VHHyPi+UQvuvEeJcrWERKbgekLY=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IU7jclztxqF7sSF25M03ofQ2Y98=</DigestValue>
      </Reference>
      <Reference URI="/word/settings.xml?ContentType=application/vnd.openxmlformats-officedocument.wordprocessingml.settings+xml">
        <DigestMethod Algorithm="http://www.w3.org/2000/09/xmldsig#sha1"/>
        <DigestValue>skwDJX3x9YJx2fQ5t1LssNa1JkI=</DigestValue>
      </Reference>
      <Reference URI="/word/styles.xml?ContentType=application/vnd.openxmlformats-officedocument.wordprocessingml.styles+xml">
        <DigestMethod Algorithm="http://www.w3.org/2000/09/xmldsig#sha1"/>
        <DigestValue>yQb6ehnbGUAUSfff7INISEONWkM=</DigestValue>
      </Reference>
      <Reference URI="/word/theme/theme1.xml?ContentType=application/vnd.openxmlformats-officedocument.theme+xml">
        <DigestMethod Algorithm="http://www.w3.org/2000/09/xmldsig#sha1"/>
        <DigestValue>fjrphzG+Jq1n0N+jp/muRNXz/Sw=</DigestValue>
      </Reference>
      <Reference URI="/word/webSettings.xml?ContentType=application/vnd.openxmlformats-officedocument.wordprocessingml.webSettings+xml">
        <DigestMethod Algorithm="http://www.w3.org/2000/09/xmldsig#sha1"/>
        <DigestValue>QlfbBpt67eERoEnlqtVCQnDfE/A=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2023-06-02T13:03:42Z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{E26580EA-AF34-449D-AFCF-9C48885CB139}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2023-06-02T13:03:42Z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61DB-EFDC-4DE6-B319-08A955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BUH</cp:lastModifiedBy>
  <cp:revision>3</cp:revision>
  <cp:lastPrinted>2012-11-24T06:54:00Z</cp:lastPrinted>
  <dcterms:created xsi:type="dcterms:W3CDTF">2023-06-02T12:55:00Z</dcterms:created>
  <dcterms:modified xsi:type="dcterms:W3CDTF">2023-06-02T13:03:00Z</dcterms:modified>
</cp:coreProperties>
</file>